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B21" w:rsidRPr="00402B21" w:rsidRDefault="00402B21" w:rsidP="00402B21">
      <w:pPr>
        <w:spacing w:line="480" w:lineRule="auto"/>
        <w:rPr>
          <w:rFonts w:ascii="Times New Roman" w:hAnsi="Times New Roman" w:cs="Times New Roman"/>
          <w:sz w:val="24"/>
          <w:szCs w:val="24"/>
        </w:rPr>
      </w:pPr>
    </w:p>
    <w:p w:rsidR="00402B21" w:rsidRDefault="00402B21" w:rsidP="00402B21">
      <w:pPr>
        <w:spacing w:line="480" w:lineRule="auto"/>
        <w:jc w:val="center"/>
        <w:rPr>
          <w:rFonts w:ascii="Times New Roman" w:hAnsi="Times New Roman" w:cs="Times New Roman"/>
          <w:b/>
          <w:sz w:val="24"/>
          <w:szCs w:val="24"/>
        </w:rPr>
      </w:pPr>
    </w:p>
    <w:p w:rsidR="00402B21" w:rsidRDefault="00402B21" w:rsidP="00402B21">
      <w:pPr>
        <w:spacing w:line="480" w:lineRule="auto"/>
        <w:jc w:val="center"/>
        <w:rPr>
          <w:rFonts w:ascii="Times New Roman" w:hAnsi="Times New Roman" w:cs="Times New Roman"/>
          <w:b/>
          <w:sz w:val="24"/>
          <w:szCs w:val="24"/>
        </w:rPr>
      </w:pPr>
    </w:p>
    <w:p w:rsidR="00402B21" w:rsidRDefault="00402B21" w:rsidP="00402B21">
      <w:pPr>
        <w:spacing w:line="480" w:lineRule="auto"/>
        <w:jc w:val="center"/>
        <w:rPr>
          <w:rFonts w:ascii="Times New Roman" w:hAnsi="Times New Roman" w:cs="Times New Roman"/>
          <w:b/>
          <w:sz w:val="24"/>
          <w:szCs w:val="24"/>
        </w:rPr>
      </w:pPr>
    </w:p>
    <w:p w:rsidR="00402B21" w:rsidRPr="00402B21" w:rsidRDefault="00402B21" w:rsidP="00402B21">
      <w:pPr>
        <w:spacing w:line="480" w:lineRule="auto"/>
        <w:jc w:val="center"/>
        <w:rPr>
          <w:rFonts w:ascii="Times New Roman" w:hAnsi="Times New Roman" w:cs="Times New Roman"/>
          <w:b/>
          <w:sz w:val="24"/>
          <w:szCs w:val="24"/>
        </w:rPr>
      </w:pPr>
      <w:r w:rsidRPr="00402B21">
        <w:rPr>
          <w:rFonts w:ascii="Times New Roman" w:hAnsi="Times New Roman" w:cs="Times New Roman"/>
          <w:b/>
          <w:sz w:val="24"/>
          <w:szCs w:val="24"/>
        </w:rPr>
        <w:t>Sexuality Education</w:t>
      </w:r>
    </w:p>
    <w:p w:rsidR="00402B21" w:rsidRPr="00402B21" w:rsidRDefault="00402B21" w:rsidP="00402B21">
      <w:pPr>
        <w:spacing w:line="480" w:lineRule="auto"/>
        <w:jc w:val="center"/>
        <w:rPr>
          <w:rFonts w:ascii="Times New Roman" w:hAnsi="Times New Roman" w:cs="Times New Roman"/>
          <w:sz w:val="24"/>
          <w:szCs w:val="24"/>
        </w:rPr>
      </w:pPr>
    </w:p>
    <w:p w:rsidR="00402B21" w:rsidRPr="00402B21" w:rsidRDefault="00402B21" w:rsidP="00402B21">
      <w:pPr>
        <w:spacing w:line="480" w:lineRule="auto"/>
        <w:jc w:val="center"/>
        <w:rPr>
          <w:rFonts w:ascii="Times New Roman" w:hAnsi="Times New Roman" w:cs="Times New Roman"/>
          <w:sz w:val="24"/>
          <w:szCs w:val="24"/>
        </w:rPr>
      </w:pPr>
      <w:r w:rsidRPr="00402B21">
        <w:rPr>
          <w:rFonts w:ascii="Times New Roman" w:hAnsi="Times New Roman" w:cs="Times New Roman"/>
          <w:sz w:val="24"/>
          <w:szCs w:val="24"/>
        </w:rPr>
        <w:t>Name</w:t>
      </w:r>
    </w:p>
    <w:p w:rsidR="00402B21" w:rsidRPr="00402B21" w:rsidRDefault="00402B21" w:rsidP="00402B21">
      <w:pPr>
        <w:spacing w:line="480" w:lineRule="auto"/>
        <w:jc w:val="center"/>
        <w:rPr>
          <w:rFonts w:ascii="Times New Roman" w:hAnsi="Times New Roman" w:cs="Times New Roman"/>
          <w:sz w:val="24"/>
          <w:szCs w:val="24"/>
        </w:rPr>
      </w:pPr>
    </w:p>
    <w:p w:rsidR="00402B21" w:rsidRPr="00402B21" w:rsidRDefault="00402B21" w:rsidP="00402B21">
      <w:pPr>
        <w:spacing w:line="480" w:lineRule="auto"/>
        <w:jc w:val="center"/>
        <w:rPr>
          <w:rFonts w:ascii="Times New Roman" w:hAnsi="Times New Roman" w:cs="Times New Roman"/>
          <w:sz w:val="24"/>
          <w:szCs w:val="24"/>
        </w:rPr>
      </w:pPr>
      <w:r w:rsidRPr="00402B21">
        <w:rPr>
          <w:rFonts w:ascii="Times New Roman" w:hAnsi="Times New Roman" w:cs="Times New Roman"/>
          <w:sz w:val="24"/>
          <w:szCs w:val="24"/>
        </w:rPr>
        <w:t>Institution</w:t>
      </w:r>
    </w:p>
    <w:p w:rsidR="00402B21" w:rsidRPr="00402B21" w:rsidRDefault="00402B21" w:rsidP="00402B21">
      <w:pPr>
        <w:spacing w:line="480" w:lineRule="auto"/>
        <w:jc w:val="center"/>
        <w:rPr>
          <w:rFonts w:ascii="Times New Roman" w:hAnsi="Times New Roman" w:cs="Times New Roman"/>
          <w:sz w:val="24"/>
          <w:szCs w:val="24"/>
        </w:rPr>
      </w:pPr>
    </w:p>
    <w:p w:rsidR="00402B21" w:rsidRPr="00402B21" w:rsidRDefault="00402B21" w:rsidP="00402B21">
      <w:pPr>
        <w:spacing w:line="480" w:lineRule="auto"/>
        <w:jc w:val="center"/>
        <w:rPr>
          <w:rFonts w:ascii="Times New Roman" w:hAnsi="Times New Roman" w:cs="Times New Roman"/>
          <w:sz w:val="24"/>
          <w:szCs w:val="24"/>
        </w:rPr>
      </w:pPr>
      <w:r w:rsidRPr="00402B21">
        <w:rPr>
          <w:rFonts w:ascii="Times New Roman" w:hAnsi="Times New Roman" w:cs="Times New Roman"/>
          <w:sz w:val="24"/>
          <w:szCs w:val="24"/>
        </w:rPr>
        <w:t>D</w:t>
      </w:r>
      <w:r>
        <w:rPr>
          <w:rFonts w:ascii="Times New Roman" w:hAnsi="Times New Roman" w:cs="Times New Roman"/>
          <w:sz w:val="24"/>
          <w:szCs w:val="24"/>
        </w:rPr>
        <w:t>ate</w:t>
      </w:r>
    </w:p>
    <w:p w:rsidR="00402B21" w:rsidRPr="00402B21" w:rsidRDefault="00402B21" w:rsidP="00402B21">
      <w:pPr>
        <w:spacing w:line="480" w:lineRule="auto"/>
        <w:rPr>
          <w:rFonts w:ascii="Times New Roman" w:hAnsi="Times New Roman" w:cs="Times New Roman"/>
          <w:sz w:val="24"/>
          <w:szCs w:val="24"/>
        </w:rPr>
      </w:pPr>
    </w:p>
    <w:p w:rsidR="00402B21" w:rsidRPr="00402B21" w:rsidRDefault="00402B21" w:rsidP="00402B21">
      <w:pPr>
        <w:spacing w:line="480" w:lineRule="auto"/>
        <w:rPr>
          <w:rFonts w:ascii="Times New Roman" w:hAnsi="Times New Roman" w:cs="Times New Roman"/>
          <w:sz w:val="24"/>
          <w:szCs w:val="24"/>
        </w:rPr>
      </w:pPr>
    </w:p>
    <w:p w:rsidR="00402B21" w:rsidRPr="00402B21" w:rsidRDefault="00402B21" w:rsidP="00402B21">
      <w:pPr>
        <w:spacing w:line="480" w:lineRule="auto"/>
        <w:rPr>
          <w:rFonts w:ascii="Times New Roman" w:hAnsi="Times New Roman" w:cs="Times New Roman"/>
          <w:sz w:val="24"/>
          <w:szCs w:val="24"/>
        </w:rPr>
      </w:pPr>
    </w:p>
    <w:p w:rsidR="00402B21" w:rsidRPr="00402B21" w:rsidRDefault="00402B21" w:rsidP="00402B21">
      <w:pPr>
        <w:spacing w:line="480" w:lineRule="auto"/>
        <w:rPr>
          <w:rFonts w:ascii="Times New Roman" w:hAnsi="Times New Roman" w:cs="Times New Roman"/>
          <w:sz w:val="24"/>
          <w:szCs w:val="24"/>
        </w:rPr>
      </w:pPr>
    </w:p>
    <w:p w:rsidR="00402B21" w:rsidRPr="00402B21" w:rsidRDefault="00402B21" w:rsidP="00402B21">
      <w:pPr>
        <w:spacing w:line="480" w:lineRule="auto"/>
        <w:rPr>
          <w:rFonts w:ascii="Times New Roman" w:hAnsi="Times New Roman" w:cs="Times New Roman"/>
          <w:sz w:val="24"/>
          <w:szCs w:val="24"/>
        </w:rPr>
      </w:pPr>
    </w:p>
    <w:p w:rsidR="00402B21" w:rsidRDefault="00402B21" w:rsidP="00402B21">
      <w:pPr>
        <w:spacing w:line="480" w:lineRule="auto"/>
        <w:rPr>
          <w:rFonts w:ascii="Times New Roman" w:hAnsi="Times New Roman" w:cs="Times New Roman"/>
          <w:sz w:val="24"/>
          <w:szCs w:val="24"/>
        </w:rPr>
      </w:pPr>
    </w:p>
    <w:p w:rsidR="00402B21" w:rsidRPr="00402B21" w:rsidRDefault="00402B21" w:rsidP="00402B21">
      <w:pPr>
        <w:spacing w:line="480" w:lineRule="auto"/>
        <w:rPr>
          <w:rFonts w:ascii="Times New Roman" w:hAnsi="Times New Roman" w:cs="Times New Roman"/>
          <w:sz w:val="24"/>
          <w:szCs w:val="24"/>
        </w:rPr>
      </w:pPr>
    </w:p>
    <w:p w:rsidR="00402B21" w:rsidRPr="00402B21" w:rsidRDefault="00402B21" w:rsidP="00402B21">
      <w:pPr>
        <w:spacing w:line="480" w:lineRule="auto"/>
        <w:jc w:val="center"/>
        <w:rPr>
          <w:rFonts w:ascii="Times New Roman" w:hAnsi="Times New Roman" w:cs="Times New Roman"/>
          <w:b/>
          <w:sz w:val="24"/>
          <w:szCs w:val="24"/>
        </w:rPr>
      </w:pPr>
      <w:r w:rsidRPr="00402B21">
        <w:rPr>
          <w:rFonts w:ascii="Times New Roman" w:hAnsi="Times New Roman" w:cs="Times New Roman"/>
          <w:b/>
          <w:sz w:val="24"/>
          <w:szCs w:val="24"/>
        </w:rPr>
        <w:lastRenderedPageBreak/>
        <w:t>Sexuality Education</w:t>
      </w:r>
    </w:p>
    <w:p w:rsidR="00BB2CC7" w:rsidRPr="00402B21" w:rsidRDefault="00BB2CC7" w:rsidP="00402B21">
      <w:pPr>
        <w:spacing w:after="0" w:line="480" w:lineRule="auto"/>
        <w:ind w:firstLine="720"/>
        <w:contextualSpacing/>
        <w:rPr>
          <w:rFonts w:ascii="Times New Roman" w:hAnsi="Times New Roman" w:cs="Times New Roman"/>
          <w:sz w:val="24"/>
          <w:szCs w:val="24"/>
        </w:rPr>
      </w:pPr>
      <w:r w:rsidRPr="00402B21">
        <w:rPr>
          <w:rFonts w:ascii="Times New Roman" w:hAnsi="Times New Roman" w:cs="Times New Roman"/>
          <w:sz w:val="24"/>
          <w:szCs w:val="24"/>
        </w:rPr>
        <w:t xml:space="preserve">According to </w:t>
      </w:r>
      <w:r w:rsidRPr="00402B21">
        <w:rPr>
          <w:rFonts w:ascii="Times New Roman" w:hAnsi="Times New Roman" w:cs="Times New Roman"/>
          <w:sz w:val="24"/>
          <w:szCs w:val="24"/>
        </w:rPr>
        <w:t>Robinson</w:t>
      </w:r>
      <w:r w:rsidRPr="00402B21">
        <w:rPr>
          <w:rFonts w:ascii="Times New Roman" w:hAnsi="Times New Roman" w:cs="Times New Roman"/>
          <w:sz w:val="24"/>
          <w:szCs w:val="24"/>
        </w:rPr>
        <w:t xml:space="preserve"> et al., (2017), s</w:t>
      </w:r>
      <w:r w:rsidRPr="00402B21">
        <w:rPr>
          <w:rFonts w:ascii="Times New Roman" w:hAnsi="Times New Roman" w:cs="Times New Roman"/>
          <w:sz w:val="24"/>
          <w:szCs w:val="24"/>
        </w:rPr>
        <w:t>exuality education, in general, entails teachings concerned with human sexuality, encompassing intimate relationships, peoples or individual's sexual anatomy, sexual reproduction, sexually transmitted infections, sexual activities, sexual orientations, gender identity, abstinence, and reproduction rights as well as responsibilities. This essay paper addresses the purposes of sexual education and especially at each level of an individual lifespan commencing with middle childhood, moving to adolescence, young adulthood, and finally the late adulthood. The paper also focuses on balancing religious beliefs, cultural beliefs, and technical approaches when trying to implement an ideal sexuality education program.</w:t>
      </w:r>
    </w:p>
    <w:p w:rsidR="00BB2CC7" w:rsidRPr="00402B21" w:rsidRDefault="00BB2CC7" w:rsidP="00402B21">
      <w:pPr>
        <w:spacing w:after="0" w:line="480" w:lineRule="auto"/>
        <w:ind w:firstLine="720"/>
        <w:contextualSpacing/>
        <w:rPr>
          <w:rFonts w:ascii="Times New Roman" w:hAnsi="Times New Roman" w:cs="Times New Roman"/>
          <w:sz w:val="24"/>
          <w:szCs w:val="24"/>
        </w:rPr>
      </w:pPr>
      <w:r w:rsidRPr="00402B21">
        <w:rPr>
          <w:rFonts w:ascii="Times New Roman" w:hAnsi="Times New Roman" w:cs="Times New Roman"/>
          <w:sz w:val="24"/>
          <w:szCs w:val="24"/>
        </w:rPr>
        <w:t>Standard sexual teaching is domineering to a community of fledgling adults creating keen sexual health choices and appreciating the learning institutions where hookup beliefs can be dominant</w:t>
      </w:r>
      <w:r w:rsidRPr="00402B21">
        <w:rPr>
          <w:rFonts w:ascii="Times New Roman" w:hAnsi="Times New Roman" w:cs="Times New Roman"/>
          <w:sz w:val="24"/>
          <w:szCs w:val="24"/>
        </w:rPr>
        <w:t xml:space="preserve"> (</w:t>
      </w:r>
      <w:r w:rsidRPr="00402B21">
        <w:rPr>
          <w:rFonts w:ascii="Times New Roman" w:hAnsi="Times New Roman" w:cs="Times New Roman"/>
          <w:sz w:val="24"/>
          <w:szCs w:val="24"/>
        </w:rPr>
        <w:t>Ge</w:t>
      </w:r>
      <w:r w:rsidRPr="00402B21">
        <w:rPr>
          <w:rFonts w:ascii="Times New Roman" w:hAnsi="Times New Roman" w:cs="Times New Roman"/>
          <w:sz w:val="24"/>
          <w:szCs w:val="24"/>
        </w:rPr>
        <w:t xml:space="preserve">genfurtner &amp; Gebhardt, </w:t>
      </w:r>
      <w:r w:rsidRPr="00402B21">
        <w:rPr>
          <w:rFonts w:ascii="Times New Roman" w:hAnsi="Times New Roman" w:cs="Times New Roman"/>
          <w:sz w:val="24"/>
          <w:szCs w:val="24"/>
        </w:rPr>
        <w:t>2017</w:t>
      </w:r>
      <w:r w:rsidRPr="00402B21">
        <w:rPr>
          <w:rFonts w:ascii="Times New Roman" w:hAnsi="Times New Roman" w:cs="Times New Roman"/>
          <w:sz w:val="24"/>
          <w:szCs w:val="24"/>
        </w:rPr>
        <w:t>)</w:t>
      </w:r>
      <w:r w:rsidRPr="00402B21">
        <w:rPr>
          <w:rFonts w:ascii="Times New Roman" w:hAnsi="Times New Roman" w:cs="Times New Roman"/>
          <w:sz w:val="24"/>
          <w:szCs w:val="24"/>
        </w:rPr>
        <w:t>. Adolescents building safe and clever decisions in their intimate lives come from taking dependable data on guarding themselves and their associates. Notably, in both central and high institutions all over the United Nations, the main aim of formal sexual instruction courses is to provide vibrant and precise information to aid fledgling people to make such respectable decisions. The majority of learners in the United States acquire sexual teaching courses via their learning institutions between grades six and twelve. However, there is no established program for sexual teaching, and there is no homogeneous testing for proficiency. Sex education has a great positive impact as well as a life-long influence on an individual's condition and well-being of fledgling people.</w:t>
      </w:r>
    </w:p>
    <w:p w:rsidR="00BB2CC7" w:rsidRPr="00402B21" w:rsidRDefault="00BB2CC7" w:rsidP="00402B21">
      <w:pPr>
        <w:spacing w:after="0" w:line="480" w:lineRule="auto"/>
        <w:ind w:firstLine="720"/>
        <w:contextualSpacing/>
        <w:rPr>
          <w:rFonts w:ascii="Times New Roman" w:hAnsi="Times New Roman" w:cs="Times New Roman"/>
          <w:sz w:val="24"/>
          <w:szCs w:val="24"/>
        </w:rPr>
      </w:pPr>
      <w:r w:rsidRPr="00402B21">
        <w:rPr>
          <w:rFonts w:ascii="Times New Roman" w:hAnsi="Times New Roman" w:cs="Times New Roman"/>
          <w:sz w:val="24"/>
          <w:szCs w:val="24"/>
        </w:rPr>
        <w:t xml:space="preserve">Implementation of long-lasting universal sexuality teaching programs has greatly resulted in a decrease in pregnancies among teenagers and reduced abortions. Nevertheless, the </w:t>
      </w:r>
      <w:r w:rsidRPr="00402B21">
        <w:rPr>
          <w:rFonts w:ascii="Times New Roman" w:hAnsi="Times New Roman" w:cs="Times New Roman"/>
          <w:sz w:val="24"/>
          <w:szCs w:val="24"/>
        </w:rPr>
        <w:lastRenderedPageBreak/>
        <w:t>introduction of sexual education has also contributed to a drop in the degrees of sexually transmitted infections (STIs) as well as HIV contagions among fledgling people ranging from the age of fifteen years to twenty-four years of age</w:t>
      </w:r>
      <w:r w:rsidRPr="00402B21">
        <w:rPr>
          <w:rFonts w:ascii="Times New Roman" w:hAnsi="Times New Roman" w:cs="Times New Roman"/>
          <w:sz w:val="24"/>
          <w:szCs w:val="24"/>
        </w:rPr>
        <w:t xml:space="preserve"> (</w:t>
      </w:r>
      <w:r w:rsidRPr="00402B21">
        <w:rPr>
          <w:rFonts w:ascii="Times New Roman" w:hAnsi="Times New Roman" w:cs="Times New Roman"/>
          <w:sz w:val="24"/>
          <w:szCs w:val="24"/>
        </w:rPr>
        <w:t>Ge</w:t>
      </w:r>
      <w:r w:rsidRPr="00402B21">
        <w:rPr>
          <w:rFonts w:ascii="Times New Roman" w:hAnsi="Times New Roman" w:cs="Times New Roman"/>
          <w:sz w:val="24"/>
          <w:szCs w:val="24"/>
        </w:rPr>
        <w:t xml:space="preserve">genfurtner &amp; Gebhardt, </w:t>
      </w:r>
      <w:r w:rsidRPr="00402B21">
        <w:rPr>
          <w:rFonts w:ascii="Times New Roman" w:hAnsi="Times New Roman" w:cs="Times New Roman"/>
          <w:sz w:val="24"/>
          <w:szCs w:val="24"/>
        </w:rPr>
        <w:t>2017</w:t>
      </w:r>
      <w:r w:rsidRPr="00402B21">
        <w:rPr>
          <w:rFonts w:ascii="Times New Roman" w:hAnsi="Times New Roman" w:cs="Times New Roman"/>
          <w:sz w:val="24"/>
          <w:szCs w:val="24"/>
        </w:rPr>
        <w:t>)</w:t>
      </w:r>
      <w:r w:rsidRPr="00402B21">
        <w:rPr>
          <w:rFonts w:ascii="Times New Roman" w:hAnsi="Times New Roman" w:cs="Times New Roman"/>
          <w:sz w:val="24"/>
          <w:szCs w:val="24"/>
        </w:rPr>
        <w:t xml:space="preserve">. Despite escalating confidence and reinforcement skills to deal with various trials, sexuality education has greatly contributed to empowering the fledgling people to cultivate resilient and more expressive interactions. Also, community customs and gender disparity impact the manifestation of sexuality and sexual conduct. A lot of fledgling females have low stages of supremacy or control in their carnal affiliations. On the other hand, fledgling males might sense burden from their earls to deed according to man carnal typecasts and participate in monitoring or detrimental behaviors. Decent-quality sexuality teaching influences affirmative attitudes and beliefs. It can level out the supremacy subtleties in close connections, thus backing to the anticipation of exploitation and promoting jointly dutiful and consensual corporations. </w:t>
      </w:r>
    </w:p>
    <w:p w:rsidR="00BB2CC7" w:rsidRPr="00402B21" w:rsidRDefault="00BB2CC7" w:rsidP="00402B21">
      <w:pPr>
        <w:spacing w:after="0" w:line="480" w:lineRule="auto"/>
        <w:ind w:firstLine="720"/>
        <w:contextualSpacing/>
        <w:rPr>
          <w:rFonts w:ascii="Times New Roman" w:hAnsi="Times New Roman" w:cs="Times New Roman"/>
          <w:sz w:val="24"/>
          <w:szCs w:val="24"/>
        </w:rPr>
      </w:pPr>
      <w:r w:rsidRPr="00402B21">
        <w:rPr>
          <w:rFonts w:ascii="Times New Roman" w:hAnsi="Times New Roman" w:cs="Times New Roman"/>
          <w:sz w:val="24"/>
          <w:szCs w:val="24"/>
        </w:rPr>
        <w:t>Moreover, carnal teaching plays a critical part in addressing the well-being of young children as well as addressing the well-being of fledgling people. Comprehensive sexuality education facilitates young children and fledgling people with age-suitable and phased teaching on human privileges, gender fairness, interactions, carnal behavior hazards, and ill health anticipation. The exercise of equipping learners with knowledge concerning sexual education also offers learners a chance to present sexuality with an affirmative approach and underscore ideals like veneration, fairness, and accountability. Acquainting young children and young people with knowledge or information concerning sexuality education has a positive impact on such people since it increases knowledge among the subjects and cultivates their attitudes linked to carnal and reproductive well-being and conduct</w:t>
      </w:r>
      <w:r w:rsidRPr="00402B21">
        <w:rPr>
          <w:rFonts w:ascii="Times New Roman" w:hAnsi="Times New Roman" w:cs="Times New Roman"/>
          <w:sz w:val="24"/>
          <w:szCs w:val="24"/>
        </w:rPr>
        <w:t xml:space="preserve"> (</w:t>
      </w:r>
      <w:r w:rsidRPr="00402B21">
        <w:rPr>
          <w:rFonts w:ascii="Times New Roman" w:hAnsi="Times New Roman" w:cs="Times New Roman"/>
          <w:sz w:val="24"/>
          <w:szCs w:val="24"/>
        </w:rPr>
        <w:t>Rig</w:t>
      </w:r>
      <w:r w:rsidRPr="00402B21">
        <w:rPr>
          <w:rFonts w:ascii="Times New Roman" w:hAnsi="Times New Roman" w:cs="Times New Roman"/>
          <w:sz w:val="24"/>
          <w:szCs w:val="24"/>
        </w:rPr>
        <w:t xml:space="preserve">gs &amp; Bartholomeus, </w:t>
      </w:r>
      <w:r w:rsidRPr="00402B21">
        <w:rPr>
          <w:rFonts w:ascii="Times New Roman" w:hAnsi="Times New Roman" w:cs="Times New Roman"/>
          <w:sz w:val="24"/>
          <w:szCs w:val="24"/>
        </w:rPr>
        <w:t>2018</w:t>
      </w:r>
      <w:r w:rsidRPr="00402B21">
        <w:rPr>
          <w:rFonts w:ascii="Times New Roman" w:hAnsi="Times New Roman" w:cs="Times New Roman"/>
          <w:sz w:val="24"/>
          <w:szCs w:val="24"/>
        </w:rPr>
        <w:t>)</w:t>
      </w:r>
      <w:r w:rsidRPr="00402B21">
        <w:rPr>
          <w:rFonts w:ascii="Times New Roman" w:hAnsi="Times New Roman" w:cs="Times New Roman"/>
          <w:sz w:val="24"/>
          <w:szCs w:val="24"/>
        </w:rPr>
        <w:t xml:space="preserve">. Overall, comprehensive sexual education aids in supporting young children and young people's </w:t>
      </w:r>
      <w:r w:rsidRPr="00402B21">
        <w:rPr>
          <w:rFonts w:ascii="Times New Roman" w:hAnsi="Times New Roman" w:cs="Times New Roman"/>
          <w:sz w:val="24"/>
          <w:szCs w:val="24"/>
        </w:rPr>
        <w:lastRenderedPageBreak/>
        <w:t>empowerment by improving their critical, communication and other life services for healthiness and well-being in relative to sexuality, people's privileges, morals, healthy and reverential interactions, ethnic and social customs, gender impartiality, non-perception, carnal conduct, ferocity, and gender-centered viciousness, harmony, sexual mistreatment, and detrimental practices.</w:t>
      </w:r>
    </w:p>
    <w:p w:rsidR="00BB2CC7" w:rsidRPr="00402B21" w:rsidRDefault="00BB2CC7" w:rsidP="00402B21">
      <w:pPr>
        <w:spacing w:after="0" w:line="480" w:lineRule="auto"/>
        <w:ind w:firstLine="720"/>
        <w:contextualSpacing/>
        <w:rPr>
          <w:rFonts w:ascii="Times New Roman" w:hAnsi="Times New Roman" w:cs="Times New Roman"/>
          <w:sz w:val="24"/>
          <w:szCs w:val="24"/>
        </w:rPr>
      </w:pPr>
      <w:r w:rsidRPr="00402B21">
        <w:rPr>
          <w:rFonts w:ascii="Times New Roman" w:hAnsi="Times New Roman" w:cs="Times New Roman"/>
          <w:sz w:val="24"/>
          <w:szCs w:val="24"/>
        </w:rPr>
        <w:t>Efficient provision of basic sexual education to middle childhood has been shown to aid in preventing and reducing the risks of early adolescent pregnancies.</w:t>
      </w:r>
      <w:r w:rsidR="00402B21" w:rsidRPr="00402B21">
        <w:rPr>
          <w:rFonts w:ascii="Times New Roman" w:hAnsi="Times New Roman" w:cs="Times New Roman"/>
          <w:sz w:val="24"/>
          <w:szCs w:val="24"/>
        </w:rPr>
        <w:t xml:space="preserve"> According to Riggs </w:t>
      </w:r>
      <w:r w:rsidR="00402B21" w:rsidRPr="00402B21">
        <w:rPr>
          <w:rFonts w:ascii="Times New Roman" w:hAnsi="Times New Roman" w:cs="Times New Roman"/>
          <w:sz w:val="24"/>
          <w:szCs w:val="24"/>
        </w:rPr>
        <w:t>&amp; Bartholomeus</w:t>
      </w:r>
      <w:r w:rsidR="00402B21" w:rsidRPr="00402B21">
        <w:rPr>
          <w:rFonts w:ascii="Times New Roman" w:hAnsi="Times New Roman" w:cs="Times New Roman"/>
          <w:sz w:val="24"/>
          <w:szCs w:val="24"/>
        </w:rPr>
        <w:t xml:space="preserve"> </w:t>
      </w:r>
      <w:r w:rsidR="00402B21" w:rsidRPr="00402B21">
        <w:rPr>
          <w:rFonts w:ascii="Times New Roman" w:hAnsi="Times New Roman" w:cs="Times New Roman"/>
          <w:sz w:val="24"/>
          <w:szCs w:val="24"/>
        </w:rPr>
        <w:t>(2018</w:t>
      </w:r>
      <w:r w:rsidR="00402B21" w:rsidRPr="00402B21">
        <w:rPr>
          <w:rFonts w:ascii="Times New Roman" w:hAnsi="Times New Roman" w:cs="Times New Roman"/>
          <w:sz w:val="24"/>
          <w:szCs w:val="24"/>
        </w:rPr>
        <w:t>), t</w:t>
      </w:r>
      <w:r w:rsidRPr="00402B21">
        <w:rPr>
          <w:rFonts w:ascii="Times New Roman" w:hAnsi="Times New Roman" w:cs="Times New Roman"/>
          <w:sz w:val="24"/>
          <w:szCs w:val="24"/>
        </w:rPr>
        <w:t>he provision of sexual education to middle childhood has also contributed to the prevention and decline of HIV and issues of sexually transmitted infections among the children. Provision of sexual education in middle childhood aids in impacting the entire life positively since it makes such a group of people is conversant with healthy sexual development, interpersonal interactions among the middle childhood, and gender identity. Middle childhood needs to receive accurate teachings concerning sexual education to be conversant on how to drill healthy carnal behavior. Unwholesome, oppressive, or hazardous carnal doings might result in well-being and social issues, such as accidental gravidness and sexually transmitted infections (STIs), such as gonorrhea, Chlamydia, syphilis, hepatitis, herpes, human papilloma virus (HPV); HIV contagion; and AIDS</w:t>
      </w:r>
      <w:r w:rsidRPr="00402B21">
        <w:rPr>
          <w:rFonts w:ascii="Times New Roman" w:hAnsi="Times New Roman" w:cs="Times New Roman"/>
          <w:sz w:val="24"/>
          <w:szCs w:val="24"/>
        </w:rPr>
        <w:t xml:space="preserve"> (</w:t>
      </w:r>
      <w:r w:rsidRPr="00402B21">
        <w:rPr>
          <w:rFonts w:ascii="Times New Roman" w:hAnsi="Times New Roman" w:cs="Times New Roman"/>
          <w:sz w:val="24"/>
          <w:szCs w:val="24"/>
        </w:rPr>
        <w:t>Dassel</w:t>
      </w:r>
      <w:r w:rsidRPr="00402B21">
        <w:rPr>
          <w:rFonts w:ascii="Times New Roman" w:hAnsi="Times New Roman" w:cs="Times New Roman"/>
          <w:sz w:val="24"/>
          <w:szCs w:val="24"/>
        </w:rPr>
        <w:t xml:space="preserve"> et al., 2017)</w:t>
      </w:r>
      <w:r w:rsidRPr="00402B21">
        <w:rPr>
          <w:rFonts w:ascii="Times New Roman" w:hAnsi="Times New Roman" w:cs="Times New Roman"/>
          <w:sz w:val="24"/>
          <w:szCs w:val="24"/>
        </w:rPr>
        <w:t>.</w:t>
      </w:r>
    </w:p>
    <w:p w:rsidR="00BB2CC7" w:rsidRPr="00402B21" w:rsidRDefault="00BB2CC7" w:rsidP="00402B21">
      <w:pPr>
        <w:spacing w:after="0" w:line="480" w:lineRule="auto"/>
        <w:ind w:firstLine="720"/>
        <w:contextualSpacing/>
        <w:rPr>
          <w:rFonts w:ascii="Times New Roman" w:hAnsi="Times New Roman" w:cs="Times New Roman"/>
          <w:sz w:val="24"/>
          <w:szCs w:val="24"/>
        </w:rPr>
      </w:pPr>
      <w:r w:rsidRPr="00402B21">
        <w:rPr>
          <w:rFonts w:ascii="Times New Roman" w:hAnsi="Times New Roman" w:cs="Times New Roman"/>
          <w:sz w:val="24"/>
          <w:szCs w:val="24"/>
        </w:rPr>
        <w:t xml:space="preserve">Moreover, the provision of sexual education to young adulthood includes sexuality education interventions, which have positively helped such a group of people. Sexuality education interventions aid in preventing the risks of adolescent gravidness linked with HIV infections. It also aids in preventing sexually transmitted infections for adolescents with and without enduring health situations and debilities in the united nation. According to research, the provision of sexuality education to adulthood has positively impacted their life since adolescent </w:t>
      </w:r>
      <w:r w:rsidRPr="00402B21">
        <w:rPr>
          <w:rFonts w:ascii="Times New Roman" w:hAnsi="Times New Roman" w:cs="Times New Roman"/>
          <w:sz w:val="24"/>
          <w:szCs w:val="24"/>
        </w:rPr>
        <w:lastRenderedPageBreak/>
        <w:t>sexual activity leading to accidental births has significantly declined. Such a decline in adolescent birth rates and especially in the United States, replicates an escalate use of contraception at the initial intercourse as well as increased use of dual approaches of condoms</w:t>
      </w:r>
      <w:r w:rsidRPr="00402B21">
        <w:rPr>
          <w:rFonts w:ascii="Times New Roman" w:hAnsi="Times New Roman" w:cs="Times New Roman"/>
          <w:sz w:val="24"/>
          <w:szCs w:val="24"/>
        </w:rPr>
        <w:t xml:space="preserve"> (Riggs </w:t>
      </w:r>
      <w:r w:rsidRPr="00402B21">
        <w:rPr>
          <w:rFonts w:ascii="Times New Roman" w:hAnsi="Times New Roman" w:cs="Times New Roman"/>
          <w:sz w:val="24"/>
          <w:szCs w:val="24"/>
        </w:rPr>
        <w:t>&amp; Bartholomeus</w:t>
      </w:r>
      <w:r w:rsidRPr="00402B21">
        <w:rPr>
          <w:rFonts w:ascii="Times New Roman" w:hAnsi="Times New Roman" w:cs="Times New Roman"/>
          <w:sz w:val="24"/>
          <w:szCs w:val="24"/>
        </w:rPr>
        <w:t xml:space="preserve">, </w:t>
      </w:r>
      <w:r w:rsidRPr="00402B21">
        <w:rPr>
          <w:rFonts w:ascii="Times New Roman" w:hAnsi="Times New Roman" w:cs="Times New Roman"/>
          <w:sz w:val="24"/>
          <w:szCs w:val="24"/>
        </w:rPr>
        <w:t>2018</w:t>
      </w:r>
      <w:r w:rsidRPr="00402B21">
        <w:rPr>
          <w:rFonts w:ascii="Times New Roman" w:hAnsi="Times New Roman" w:cs="Times New Roman"/>
          <w:sz w:val="24"/>
          <w:szCs w:val="24"/>
        </w:rPr>
        <w:t>)</w:t>
      </w:r>
      <w:r w:rsidRPr="00402B21">
        <w:rPr>
          <w:rFonts w:ascii="Times New Roman" w:hAnsi="Times New Roman" w:cs="Times New Roman"/>
          <w:sz w:val="24"/>
          <w:szCs w:val="24"/>
        </w:rPr>
        <w:t>.</w:t>
      </w:r>
    </w:p>
    <w:p w:rsidR="00BB2CC7" w:rsidRPr="00402B21" w:rsidRDefault="00BB2CC7" w:rsidP="00402B21">
      <w:pPr>
        <w:spacing w:after="0" w:line="480" w:lineRule="auto"/>
        <w:ind w:firstLine="720"/>
        <w:contextualSpacing/>
        <w:rPr>
          <w:rFonts w:ascii="Times New Roman" w:hAnsi="Times New Roman" w:cs="Times New Roman"/>
          <w:sz w:val="24"/>
          <w:szCs w:val="24"/>
        </w:rPr>
      </w:pPr>
      <w:r w:rsidRPr="00402B21">
        <w:rPr>
          <w:rFonts w:ascii="Times New Roman" w:hAnsi="Times New Roman" w:cs="Times New Roman"/>
          <w:sz w:val="24"/>
          <w:szCs w:val="24"/>
        </w:rPr>
        <w:t>The main benefits associated with the provision of sexuality education to middle adulthood and late adulthood are that it aids in improving the well-being among specified groups. Also, the sexual issues among middle adulthood as well as late adulthood have greatly declined as a result of the provision of sexual education to such a group. The necessity to increase awareness of the diverse problems neighboring sexuality of middle adulthood and late adulthood is such an educational approach. Besides, such a teaching approach is designed to escalate adulthood's well-being level and regularly embrace the incorporation of sexuality valuation in the design of care of late adulthood</w:t>
      </w:r>
      <w:r w:rsidR="00402B21" w:rsidRPr="00402B21">
        <w:rPr>
          <w:rFonts w:ascii="Times New Roman" w:hAnsi="Times New Roman" w:cs="Times New Roman"/>
          <w:sz w:val="24"/>
          <w:szCs w:val="24"/>
        </w:rPr>
        <w:t xml:space="preserve"> (</w:t>
      </w:r>
      <w:r w:rsidR="00402B21" w:rsidRPr="00402B21">
        <w:rPr>
          <w:rFonts w:ascii="Times New Roman" w:hAnsi="Times New Roman" w:cs="Times New Roman"/>
          <w:sz w:val="24"/>
          <w:szCs w:val="24"/>
        </w:rPr>
        <w:t>Ge</w:t>
      </w:r>
      <w:r w:rsidR="00402B21" w:rsidRPr="00402B21">
        <w:rPr>
          <w:rFonts w:ascii="Times New Roman" w:hAnsi="Times New Roman" w:cs="Times New Roman"/>
          <w:sz w:val="24"/>
          <w:szCs w:val="24"/>
        </w:rPr>
        <w:t xml:space="preserve">genfurtner &amp; Gebhardt, </w:t>
      </w:r>
      <w:r w:rsidR="00402B21" w:rsidRPr="00402B21">
        <w:rPr>
          <w:rFonts w:ascii="Times New Roman" w:hAnsi="Times New Roman" w:cs="Times New Roman"/>
          <w:sz w:val="24"/>
          <w:szCs w:val="24"/>
        </w:rPr>
        <w:t>2017</w:t>
      </w:r>
      <w:r w:rsidR="00402B21" w:rsidRPr="00402B21">
        <w:rPr>
          <w:rFonts w:ascii="Times New Roman" w:hAnsi="Times New Roman" w:cs="Times New Roman"/>
          <w:sz w:val="24"/>
          <w:szCs w:val="24"/>
        </w:rPr>
        <w:t>)</w:t>
      </w:r>
      <w:r w:rsidRPr="00402B21">
        <w:rPr>
          <w:rFonts w:ascii="Times New Roman" w:hAnsi="Times New Roman" w:cs="Times New Roman"/>
          <w:sz w:val="24"/>
          <w:szCs w:val="24"/>
        </w:rPr>
        <w:t xml:space="preserve">. </w:t>
      </w:r>
    </w:p>
    <w:p w:rsidR="00580C39" w:rsidRDefault="00BB2CC7" w:rsidP="00580C39">
      <w:pPr>
        <w:spacing w:after="0" w:line="480" w:lineRule="auto"/>
        <w:ind w:firstLine="720"/>
        <w:contextualSpacing/>
        <w:rPr>
          <w:rFonts w:ascii="Times New Roman" w:hAnsi="Times New Roman" w:cs="Times New Roman"/>
          <w:sz w:val="24"/>
          <w:szCs w:val="24"/>
        </w:rPr>
      </w:pPr>
      <w:r w:rsidRPr="00402B21">
        <w:rPr>
          <w:rFonts w:ascii="Times New Roman" w:hAnsi="Times New Roman" w:cs="Times New Roman"/>
          <w:sz w:val="24"/>
          <w:szCs w:val="24"/>
        </w:rPr>
        <w:t>The diversification of religion in the entire globe has led to the emergence of challenges, especially in the health care sector. The health care sector encourages the provision of sexuality education to young children, middle adulthood, as well as older adulthood. Such provision of sexuality education by the health care sector would greatly reduce pregnancies among teenagers and reduce cases of abortions. Nevertheless, the introduction of sexual education would also have contributed to a decline in the rates of sexually transmitted infections (STIs) as well as HIV infections among young people ranging from the age of fifteen years to twenty-four years of age</w:t>
      </w:r>
      <w:r w:rsidRPr="00402B21">
        <w:rPr>
          <w:rFonts w:ascii="Times New Roman" w:hAnsi="Times New Roman" w:cs="Times New Roman"/>
          <w:sz w:val="24"/>
          <w:szCs w:val="24"/>
        </w:rPr>
        <w:t xml:space="preserve"> (</w:t>
      </w:r>
      <w:r w:rsidRPr="00402B21">
        <w:rPr>
          <w:rFonts w:ascii="Times New Roman" w:hAnsi="Times New Roman" w:cs="Times New Roman"/>
          <w:sz w:val="24"/>
          <w:szCs w:val="24"/>
        </w:rPr>
        <w:t>Fileborn</w:t>
      </w:r>
      <w:r w:rsidRPr="00402B21">
        <w:rPr>
          <w:rFonts w:ascii="Times New Roman" w:hAnsi="Times New Roman" w:cs="Times New Roman"/>
          <w:sz w:val="24"/>
          <w:szCs w:val="24"/>
        </w:rPr>
        <w:t xml:space="preserve"> et al., 2017)</w:t>
      </w:r>
      <w:r w:rsidRPr="00402B21">
        <w:rPr>
          <w:rFonts w:ascii="Times New Roman" w:hAnsi="Times New Roman" w:cs="Times New Roman"/>
          <w:sz w:val="24"/>
          <w:szCs w:val="24"/>
        </w:rPr>
        <w:t xml:space="preserve">. These teachings are contrary to religious teachings as they oppose providing sexual education to young children since it might contribute to depriving the moral virtues among such groups. </w:t>
      </w:r>
    </w:p>
    <w:p w:rsidR="00BB2CC7" w:rsidRPr="00402B21" w:rsidRDefault="00BB2CC7" w:rsidP="00580C39">
      <w:pPr>
        <w:spacing w:after="0" w:line="480" w:lineRule="auto"/>
        <w:ind w:firstLine="720"/>
        <w:contextualSpacing/>
        <w:rPr>
          <w:rFonts w:ascii="Times New Roman" w:hAnsi="Times New Roman" w:cs="Times New Roman"/>
          <w:sz w:val="24"/>
          <w:szCs w:val="24"/>
        </w:rPr>
      </w:pPr>
      <w:r w:rsidRPr="00402B21">
        <w:rPr>
          <w:rFonts w:ascii="Times New Roman" w:hAnsi="Times New Roman" w:cs="Times New Roman"/>
          <w:sz w:val="24"/>
          <w:szCs w:val="24"/>
        </w:rPr>
        <w:lastRenderedPageBreak/>
        <w:t xml:space="preserve">Nevertheless, the program should also include cultural competencies or beliefs since it would aid in providing health care services by the health care providers that meet the cultural, social, and religious needs of patients and their families. In conclusion, carnal teaching plays a critical part in addressing the health and well-being of young children and addressing the well-being of fledgling people. Comprehensive sexuality education facilitates fledgling children and fledgling people with age-suitable and phased education on human privileges, gender fairness, interactions, carnal behavior risks, and ill-health prevention. The exercise of equipping learners with knowledge concerning sexual education also allows learners to present sexuality with an affirmative approach and emphasize morals like respect, fairness, and accountability. </w:t>
      </w: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580C39" w:rsidRDefault="00580C39" w:rsidP="00402B21">
      <w:pPr>
        <w:spacing w:line="480" w:lineRule="auto"/>
        <w:rPr>
          <w:rFonts w:ascii="Times New Roman" w:hAnsi="Times New Roman" w:cs="Times New Roman"/>
          <w:sz w:val="24"/>
          <w:szCs w:val="24"/>
        </w:rPr>
      </w:pPr>
    </w:p>
    <w:p w:rsidR="00BB2CC7" w:rsidRPr="00580C39" w:rsidRDefault="00BB2CC7" w:rsidP="00580C39">
      <w:pPr>
        <w:spacing w:line="480" w:lineRule="auto"/>
        <w:jc w:val="center"/>
        <w:rPr>
          <w:rFonts w:ascii="Times New Roman" w:hAnsi="Times New Roman" w:cs="Times New Roman"/>
          <w:b/>
          <w:sz w:val="24"/>
          <w:szCs w:val="24"/>
        </w:rPr>
      </w:pPr>
      <w:r w:rsidRPr="00580C39">
        <w:rPr>
          <w:rFonts w:ascii="Times New Roman" w:hAnsi="Times New Roman" w:cs="Times New Roman"/>
          <w:b/>
          <w:sz w:val="24"/>
          <w:szCs w:val="24"/>
        </w:rPr>
        <w:lastRenderedPageBreak/>
        <w:t>References</w:t>
      </w:r>
    </w:p>
    <w:p w:rsidR="00580C39" w:rsidRPr="00402B21" w:rsidRDefault="00580C39" w:rsidP="00580C39">
      <w:pPr>
        <w:spacing w:after="0" w:line="480" w:lineRule="auto"/>
        <w:ind w:left="720" w:hanging="720"/>
        <w:contextualSpacing/>
        <w:rPr>
          <w:rFonts w:ascii="Times New Roman" w:hAnsi="Times New Roman" w:cs="Times New Roman"/>
          <w:sz w:val="24"/>
          <w:szCs w:val="24"/>
        </w:rPr>
      </w:pPr>
      <w:r w:rsidRPr="00402B21">
        <w:rPr>
          <w:rFonts w:ascii="Times New Roman" w:hAnsi="Times New Roman" w:cs="Times New Roman"/>
          <w:sz w:val="24"/>
          <w:szCs w:val="24"/>
        </w:rPr>
        <w:t>Dassel</w:t>
      </w:r>
      <w:r w:rsidRPr="00402B21">
        <w:rPr>
          <w:rFonts w:ascii="Times New Roman" w:hAnsi="Times New Roman" w:cs="Times New Roman"/>
          <w:sz w:val="24"/>
          <w:szCs w:val="24"/>
        </w:rPr>
        <w:t xml:space="preserve">, A. B., Kulick, A., Wernick, L. J., &amp; Sullivan, D. (2017). The importance of teacher support: Differential impacts by gender and sexuality. </w:t>
      </w:r>
      <w:r w:rsidRPr="00580C39">
        <w:rPr>
          <w:rFonts w:ascii="Times New Roman" w:hAnsi="Times New Roman" w:cs="Times New Roman"/>
          <w:i/>
          <w:sz w:val="24"/>
          <w:szCs w:val="24"/>
        </w:rPr>
        <w:t>Journal of adolescence,</w:t>
      </w:r>
      <w:r w:rsidRPr="00402B21">
        <w:rPr>
          <w:rFonts w:ascii="Times New Roman" w:hAnsi="Times New Roman" w:cs="Times New Roman"/>
          <w:sz w:val="24"/>
          <w:szCs w:val="24"/>
        </w:rPr>
        <w:t xml:space="preserve"> 56, 136-144.</w:t>
      </w:r>
    </w:p>
    <w:p w:rsidR="005740FB" w:rsidRPr="00BB2CC7" w:rsidRDefault="00580C39" w:rsidP="00580C39">
      <w:pPr>
        <w:spacing w:after="0" w:line="480" w:lineRule="auto"/>
        <w:ind w:left="720" w:hanging="720"/>
        <w:contextualSpacing/>
        <w:rPr>
          <w:rFonts w:ascii="Times New Roman" w:hAnsi="Times New Roman" w:cs="Times New Roman"/>
          <w:sz w:val="24"/>
          <w:szCs w:val="24"/>
        </w:rPr>
      </w:pPr>
      <w:r w:rsidRPr="00402B21">
        <w:rPr>
          <w:rFonts w:ascii="Times New Roman" w:hAnsi="Times New Roman" w:cs="Times New Roman"/>
          <w:sz w:val="24"/>
          <w:szCs w:val="24"/>
        </w:rPr>
        <w:t>Fileborn, B., Hinchliff, S., Lyons, A., Heywood, W., Minichiello, V., Brown, G., ... &amp; Crameri, P. (2017). The importance of sex and the meaning of sex and sexual pleasure for men aged 60 and older who engage in heterosexual relationships</w:t>
      </w:r>
      <w:r w:rsidRPr="00580C39">
        <w:rPr>
          <w:rFonts w:ascii="Times New Roman" w:hAnsi="Times New Roman" w:cs="Times New Roman"/>
          <w:i/>
          <w:sz w:val="24"/>
          <w:szCs w:val="24"/>
        </w:rPr>
        <w:t>: Findings from a qualitative interview study. Archives of Sexual Behavior,</w:t>
      </w:r>
      <w:r w:rsidRPr="00402B21">
        <w:rPr>
          <w:rFonts w:ascii="Times New Roman" w:hAnsi="Times New Roman" w:cs="Times New Roman"/>
          <w:sz w:val="24"/>
          <w:szCs w:val="24"/>
        </w:rPr>
        <w:t xml:space="preserve"> 46(7), 2097-2110.</w:t>
      </w:r>
    </w:p>
    <w:p w:rsidR="00580C39" w:rsidRPr="00402B21" w:rsidRDefault="00580C39" w:rsidP="00580C39">
      <w:pPr>
        <w:spacing w:after="0" w:line="480" w:lineRule="auto"/>
        <w:ind w:left="720" w:hanging="720"/>
        <w:contextualSpacing/>
        <w:rPr>
          <w:rFonts w:ascii="Times New Roman" w:hAnsi="Times New Roman" w:cs="Times New Roman"/>
          <w:sz w:val="24"/>
          <w:szCs w:val="24"/>
        </w:rPr>
      </w:pPr>
      <w:r w:rsidRPr="00402B21">
        <w:rPr>
          <w:rFonts w:ascii="Times New Roman" w:hAnsi="Times New Roman" w:cs="Times New Roman"/>
          <w:sz w:val="24"/>
          <w:szCs w:val="24"/>
        </w:rPr>
        <w:t xml:space="preserve">Gegenfurtner, A., &amp; Gebhardt, M. (2017). Sexuality education, including lesbian, gay, bisexual, and transgender (LGBT) issues in schools. </w:t>
      </w:r>
      <w:r w:rsidRPr="00580C39">
        <w:rPr>
          <w:rFonts w:ascii="Times New Roman" w:hAnsi="Times New Roman" w:cs="Times New Roman"/>
          <w:i/>
          <w:sz w:val="24"/>
          <w:szCs w:val="24"/>
        </w:rPr>
        <w:t>Educational Research Review,</w:t>
      </w:r>
      <w:r w:rsidRPr="00402B21">
        <w:rPr>
          <w:rFonts w:ascii="Times New Roman" w:hAnsi="Times New Roman" w:cs="Times New Roman"/>
          <w:sz w:val="24"/>
          <w:szCs w:val="24"/>
        </w:rPr>
        <w:t xml:space="preserve"> 22, 215-222.</w:t>
      </w:r>
    </w:p>
    <w:p w:rsidR="00580C39" w:rsidRPr="00402B21" w:rsidRDefault="00580C39" w:rsidP="00580C39">
      <w:pPr>
        <w:spacing w:after="0" w:line="480" w:lineRule="auto"/>
        <w:ind w:left="720" w:hanging="720"/>
        <w:contextualSpacing/>
        <w:rPr>
          <w:rFonts w:ascii="Times New Roman" w:hAnsi="Times New Roman" w:cs="Times New Roman"/>
          <w:sz w:val="24"/>
          <w:szCs w:val="24"/>
        </w:rPr>
      </w:pPr>
      <w:r w:rsidRPr="00402B21">
        <w:rPr>
          <w:rFonts w:ascii="Times New Roman" w:hAnsi="Times New Roman" w:cs="Times New Roman"/>
          <w:sz w:val="24"/>
          <w:szCs w:val="24"/>
        </w:rPr>
        <w:t xml:space="preserve">Riggs, D. W., &amp; </w:t>
      </w:r>
      <w:r w:rsidRPr="00402B21">
        <w:rPr>
          <w:rFonts w:ascii="Times New Roman" w:hAnsi="Times New Roman" w:cs="Times New Roman"/>
          <w:sz w:val="24"/>
          <w:szCs w:val="24"/>
        </w:rPr>
        <w:t>Bartholomeus</w:t>
      </w:r>
      <w:r w:rsidRPr="00402B21">
        <w:rPr>
          <w:rFonts w:ascii="Times New Roman" w:hAnsi="Times New Roman" w:cs="Times New Roman"/>
          <w:sz w:val="24"/>
          <w:szCs w:val="24"/>
        </w:rPr>
        <w:t xml:space="preserve">, C. (2018). Transgender young people's narratives of intimacy and sexual health: Implications for sexuality education. </w:t>
      </w:r>
      <w:r w:rsidRPr="00580C39">
        <w:rPr>
          <w:rFonts w:ascii="Times New Roman" w:hAnsi="Times New Roman" w:cs="Times New Roman"/>
          <w:i/>
          <w:sz w:val="24"/>
          <w:szCs w:val="24"/>
        </w:rPr>
        <w:t>Sex Education,</w:t>
      </w:r>
      <w:r w:rsidRPr="00402B21">
        <w:rPr>
          <w:rFonts w:ascii="Times New Roman" w:hAnsi="Times New Roman" w:cs="Times New Roman"/>
          <w:sz w:val="24"/>
          <w:szCs w:val="24"/>
        </w:rPr>
        <w:t xml:space="preserve"> 18(4), 376-390.</w:t>
      </w:r>
    </w:p>
    <w:p w:rsidR="00580C39" w:rsidRPr="00402B21" w:rsidRDefault="00580C39" w:rsidP="00580C39">
      <w:pPr>
        <w:spacing w:after="0" w:line="480" w:lineRule="auto"/>
        <w:ind w:left="720" w:hanging="720"/>
        <w:contextualSpacing/>
        <w:rPr>
          <w:rFonts w:ascii="Times New Roman" w:hAnsi="Times New Roman" w:cs="Times New Roman"/>
          <w:sz w:val="24"/>
          <w:szCs w:val="24"/>
        </w:rPr>
      </w:pPr>
      <w:r w:rsidRPr="00402B21">
        <w:rPr>
          <w:rFonts w:ascii="Times New Roman" w:hAnsi="Times New Roman" w:cs="Times New Roman"/>
          <w:sz w:val="24"/>
          <w:szCs w:val="24"/>
        </w:rPr>
        <w:t xml:space="preserve">Robinson, K. H., Smith, E., &amp; Davies, C. (2017). Responsibilities, tensions, and ways forward: parents' perspectives on children's sexuality education. </w:t>
      </w:r>
      <w:r w:rsidRPr="00580C39">
        <w:rPr>
          <w:rFonts w:ascii="Times New Roman" w:hAnsi="Times New Roman" w:cs="Times New Roman"/>
          <w:i/>
          <w:sz w:val="24"/>
          <w:szCs w:val="24"/>
        </w:rPr>
        <w:t>Sex Educa</w:t>
      </w:r>
      <w:bookmarkStart w:id="0" w:name="_GoBack"/>
      <w:bookmarkEnd w:id="0"/>
      <w:r w:rsidRPr="00580C39">
        <w:rPr>
          <w:rFonts w:ascii="Times New Roman" w:hAnsi="Times New Roman" w:cs="Times New Roman"/>
          <w:i/>
          <w:sz w:val="24"/>
          <w:szCs w:val="24"/>
        </w:rPr>
        <w:t>tion,</w:t>
      </w:r>
      <w:r w:rsidRPr="00402B21">
        <w:rPr>
          <w:rFonts w:ascii="Times New Roman" w:hAnsi="Times New Roman" w:cs="Times New Roman"/>
          <w:sz w:val="24"/>
          <w:szCs w:val="24"/>
        </w:rPr>
        <w:t xml:space="preserve"> 17(3), 333-347.</w:t>
      </w:r>
    </w:p>
    <w:sectPr w:rsidR="00580C39" w:rsidRPr="00402B21" w:rsidSect="00402B2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8E2" w:rsidRDefault="00E448E2" w:rsidP="00402B21">
      <w:pPr>
        <w:spacing w:after="0" w:line="240" w:lineRule="auto"/>
      </w:pPr>
      <w:r>
        <w:separator/>
      </w:r>
    </w:p>
  </w:endnote>
  <w:endnote w:type="continuationSeparator" w:id="0">
    <w:p w:rsidR="00E448E2" w:rsidRDefault="00E448E2" w:rsidP="00402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8E2" w:rsidRDefault="00E448E2" w:rsidP="00402B21">
      <w:pPr>
        <w:spacing w:after="0" w:line="240" w:lineRule="auto"/>
      </w:pPr>
      <w:r>
        <w:separator/>
      </w:r>
    </w:p>
  </w:footnote>
  <w:footnote w:type="continuationSeparator" w:id="0">
    <w:p w:rsidR="00E448E2" w:rsidRDefault="00E448E2" w:rsidP="00402B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B21" w:rsidRPr="00402B21" w:rsidRDefault="00402B21">
    <w:pPr>
      <w:pStyle w:val="Header"/>
      <w:rPr>
        <w:rFonts w:ascii="Times New Roman" w:hAnsi="Times New Roman" w:cs="Times New Roman"/>
        <w:sz w:val="24"/>
        <w:szCs w:val="24"/>
      </w:rPr>
    </w:pPr>
    <w:r>
      <w:tab/>
    </w:r>
    <w:r>
      <w:tab/>
    </w:r>
    <w:r w:rsidRPr="00402B21">
      <w:rPr>
        <w:rFonts w:ascii="Times New Roman" w:hAnsi="Times New Roman" w:cs="Times New Roman"/>
        <w:sz w:val="24"/>
        <w:szCs w:val="24"/>
      </w:rPr>
      <w:fldChar w:fldCharType="begin"/>
    </w:r>
    <w:r w:rsidRPr="00402B21">
      <w:rPr>
        <w:rFonts w:ascii="Times New Roman" w:hAnsi="Times New Roman" w:cs="Times New Roman"/>
        <w:sz w:val="24"/>
        <w:szCs w:val="24"/>
      </w:rPr>
      <w:instrText xml:space="preserve"> PAGE   \* MERGEFORMAT </w:instrText>
    </w:r>
    <w:r w:rsidRPr="00402B21">
      <w:rPr>
        <w:rFonts w:ascii="Times New Roman" w:hAnsi="Times New Roman" w:cs="Times New Roman"/>
        <w:sz w:val="24"/>
        <w:szCs w:val="24"/>
      </w:rPr>
      <w:fldChar w:fldCharType="separate"/>
    </w:r>
    <w:r w:rsidR="00580C39">
      <w:rPr>
        <w:rFonts w:ascii="Times New Roman" w:hAnsi="Times New Roman" w:cs="Times New Roman"/>
        <w:noProof/>
        <w:sz w:val="24"/>
        <w:szCs w:val="24"/>
      </w:rPr>
      <w:t>2</w:t>
    </w:r>
    <w:r w:rsidRPr="00402B21">
      <w:rPr>
        <w:rFonts w:ascii="Times New Roman" w:hAnsi="Times New Roman" w:cs="Times New Roman"/>
        <w:noProof/>
        <w:sz w:val="24"/>
        <w:szCs w:val="24"/>
      </w:rPr>
      <w:fldChar w:fldCharType="end"/>
    </w:r>
  </w:p>
  <w:p w:rsidR="00402B21" w:rsidRDefault="00402B2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2B21" w:rsidRPr="00402B21" w:rsidRDefault="00402B21">
    <w:pPr>
      <w:pStyle w:val="Header"/>
      <w:rPr>
        <w:rFonts w:ascii="Times New Roman" w:hAnsi="Times New Roman" w:cs="Times New Roman"/>
        <w:sz w:val="24"/>
        <w:szCs w:val="24"/>
      </w:rPr>
    </w:pPr>
    <w:r>
      <w:tab/>
    </w:r>
    <w:r>
      <w:tab/>
    </w:r>
    <w:r w:rsidRPr="00402B21">
      <w:rPr>
        <w:rFonts w:ascii="Times New Roman" w:hAnsi="Times New Roman" w:cs="Times New Roman"/>
        <w:sz w:val="24"/>
        <w:szCs w:val="24"/>
      </w:rPr>
      <w:fldChar w:fldCharType="begin"/>
    </w:r>
    <w:r w:rsidRPr="00402B21">
      <w:rPr>
        <w:rFonts w:ascii="Times New Roman" w:hAnsi="Times New Roman" w:cs="Times New Roman"/>
        <w:sz w:val="24"/>
        <w:szCs w:val="24"/>
      </w:rPr>
      <w:instrText xml:space="preserve"> PAGE   \* MERGEFORMAT </w:instrText>
    </w:r>
    <w:r w:rsidRPr="00402B21">
      <w:rPr>
        <w:rFonts w:ascii="Times New Roman" w:hAnsi="Times New Roman" w:cs="Times New Roman"/>
        <w:sz w:val="24"/>
        <w:szCs w:val="24"/>
      </w:rPr>
      <w:fldChar w:fldCharType="separate"/>
    </w:r>
    <w:r w:rsidR="00580C39">
      <w:rPr>
        <w:rFonts w:ascii="Times New Roman" w:hAnsi="Times New Roman" w:cs="Times New Roman"/>
        <w:noProof/>
        <w:sz w:val="24"/>
        <w:szCs w:val="24"/>
      </w:rPr>
      <w:t>1</w:t>
    </w:r>
    <w:r w:rsidRPr="00402B21">
      <w:rPr>
        <w:rFonts w:ascii="Times New Roman" w:hAnsi="Times New Roman" w:cs="Times New Roman"/>
        <w:noProof/>
        <w:sz w:val="24"/>
        <w:szCs w:val="24"/>
      </w:rPr>
      <w:fldChar w:fldCharType="end"/>
    </w:r>
  </w:p>
  <w:p w:rsidR="00402B21" w:rsidRDefault="00402B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EF3"/>
    <w:rsid w:val="00203ED4"/>
    <w:rsid w:val="00345566"/>
    <w:rsid w:val="003D2701"/>
    <w:rsid w:val="00402B21"/>
    <w:rsid w:val="00460ED8"/>
    <w:rsid w:val="005168E7"/>
    <w:rsid w:val="005740FB"/>
    <w:rsid w:val="00580C39"/>
    <w:rsid w:val="00737372"/>
    <w:rsid w:val="00812185"/>
    <w:rsid w:val="008F5D5A"/>
    <w:rsid w:val="00900EB2"/>
    <w:rsid w:val="009C0991"/>
    <w:rsid w:val="009C3EF3"/>
    <w:rsid w:val="00B210BE"/>
    <w:rsid w:val="00B65093"/>
    <w:rsid w:val="00BB2CC7"/>
    <w:rsid w:val="00C37181"/>
    <w:rsid w:val="00CA2378"/>
    <w:rsid w:val="00D5041A"/>
    <w:rsid w:val="00D532FE"/>
    <w:rsid w:val="00DE0BD7"/>
    <w:rsid w:val="00E448E2"/>
    <w:rsid w:val="00E7562A"/>
    <w:rsid w:val="00F466F5"/>
    <w:rsid w:val="00F52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CAF1FE"/>
  <w15:chartTrackingRefBased/>
  <w15:docId w15:val="{FDEC56E4-01A3-4EDE-8845-EA94A05DE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ef-lnk">
    <w:name w:val="ref-lnk"/>
    <w:basedOn w:val="DefaultParagraphFont"/>
    <w:rsid w:val="00E7562A"/>
  </w:style>
  <w:style w:type="character" w:styleId="Hyperlink">
    <w:name w:val="Hyperlink"/>
    <w:basedOn w:val="DefaultParagraphFont"/>
    <w:uiPriority w:val="99"/>
    <w:semiHidden/>
    <w:unhideWhenUsed/>
    <w:rsid w:val="00E7562A"/>
    <w:rPr>
      <w:color w:val="0000FF"/>
      <w:u w:val="single"/>
    </w:rPr>
  </w:style>
  <w:style w:type="paragraph" w:styleId="Header">
    <w:name w:val="header"/>
    <w:basedOn w:val="Normal"/>
    <w:link w:val="HeaderChar"/>
    <w:uiPriority w:val="99"/>
    <w:unhideWhenUsed/>
    <w:rsid w:val="00402B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2B21"/>
  </w:style>
  <w:style w:type="paragraph" w:styleId="Footer">
    <w:name w:val="footer"/>
    <w:basedOn w:val="Normal"/>
    <w:link w:val="FooterChar"/>
    <w:uiPriority w:val="99"/>
    <w:unhideWhenUsed/>
    <w:rsid w:val="00402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2B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1489</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2020-11-25T14:57:00Z</dcterms:created>
  <dcterms:modified xsi:type="dcterms:W3CDTF">2020-11-25T14:57:00Z</dcterms:modified>
</cp:coreProperties>
</file>